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  <w:r>
        <w:rPr>
          <w:rFonts w:ascii="Arial" w:eastAsia="Times New Roman" w:hAnsi="Arial" w:cs="Times New Roman"/>
          <w:color w:val="808080"/>
          <w:sz w:val="16"/>
          <w:szCs w:val="18"/>
          <w:lang w:val="it"/>
        </w:rPr>
        <w:t xml:space="preserve"> </w:t>
      </w: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21"/>
          <w:szCs w:val="24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5"/>
          <w:szCs w:val="24"/>
        </w:rPr>
      </w:pPr>
    </w:p>
    <w:p w:rsidR="00DB79E7" w:rsidRPr="00DB79E7" w:rsidRDefault="006458A5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40"/>
          <w:szCs w:val="24"/>
        </w:rPr>
      </w:pPr>
      <w:r>
        <w:rPr>
          <w:rFonts w:ascii="Arial" w:hAnsi="Arial" w:cs="Arial"/>
          <w:b/>
          <w:bCs/>
          <w:noProof/>
          <w:color w:val="007DC5"/>
          <w:sz w:val="36"/>
          <w:lang w:eastAsia="de-DE"/>
        </w:rPr>
        <w:drawing>
          <wp:inline distT="0" distB="0" distL="0" distR="0" wp14:anchorId="2F39B1D2" wp14:editId="53679EAD">
            <wp:extent cx="1835047" cy="1312356"/>
            <wp:effectExtent l="0" t="0" r="0" b="8890"/>
            <wp:docPr id="1" name="Picture 1" descr="/Volumes/Docs/Publicity /Active/Press Kits for Web Upload/2018/Bentley/Topcon_Press-kit_MAGNET Collage v2/MAGNET_Collage_Topc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Bentley/Topcon_Press-kit_MAGNET Collage v2/MAGNET_Collage_Topcon co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826" cy="133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A5" w:rsidRDefault="006458A5" w:rsidP="00DB79E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DC5"/>
          <w:sz w:val="36"/>
          <w:szCs w:val="24"/>
          <w:lang w:val="it"/>
        </w:rPr>
      </w:pPr>
    </w:p>
    <w:p w:rsidR="006458A5" w:rsidRPr="006458A5" w:rsidRDefault="006458A5" w:rsidP="006458A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</w:pPr>
      <w:r w:rsidRPr="006458A5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 xml:space="preserve">Topcon annuncia il rilascio del software di elaborazione dei mass data </w:t>
      </w:r>
      <w:proofErr w:type="spellStart"/>
      <w:r w:rsidRPr="006458A5">
        <w:rPr>
          <w:rFonts w:ascii="Arial" w:eastAsia="Times New Roman" w:hAnsi="Arial" w:cs="Arial"/>
          <w:b/>
          <w:bCs/>
          <w:i/>
          <w:color w:val="007DC5"/>
          <w:sz w:val="36"/>
          <w:szCs w:val="24"/>
          <w:lang w:val="it-IT"/>
        </w:rPr>
        <w:t>all</w:t>
      </w:r>
      <w:proofErr w:type="spellEnd"/>
      <w:r w:rsidRPr="006458A5">
        <w:rPr>
          <w:rFonts w:ascii="Arial" w:eastAsia="Times New Roman" w:hAnsi="Arial" w:cs="Arial"/>
          <w:b/>
          <w:bCs/>
          <w:i/>
          <w:color w:val="007DC5"/>
          <w:sz w:val="36"/>
          <w:szCs w:val="24"/>
          <w:lang w:val="it-IT"/>
        </w:rPr>
        <w:t>-in-</w:t>
      </w:r>
      <w:proofErr w:type="spellStart"/>
      <w:r w:rsidRPr="006458A5">
        <w:rPr>
          <w:rFonts w:ascii="Arial" w:eastAsia="Times New Roman" w:hAnsi="Arial" w:cs="Arial"/>
          <w:b/>
          <w:bCs/>
          <w:i/>
          <w:color w:val="007DC5"/>
          <w:sz w:val="36"/>
          <w:szCs w:val="24"/>
          <w:lang w:val="it-IT"/>
        </w:rPr>
        <w:t>one</w:t>
      </w:r>
      <w:proofErr w:type="spellEnd"/>
    </w:p>
    <w:p w:rsidR="006458A5" w:rsidRPr="006458A5" w:rsidRDefault="006458A5" w:rsidP="006458A5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36"/>
          <w:szCs w:val="24"/>
          <w:lang w:val="it-IT"/>
        </w:rPr>
      </w:pPr>
      <w:proofErr w:type="spellStart"/>
      <w:r w:rsidRPr="006458A5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>di</w:t>
      </w:r>
      <w:proofErr w:type="spellEnd"/>
      <w:r w:rsidRPr="006458A5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 xml:space="preserve"> ultima generazione</w:t>
      </w:r>
    </w:p>
    <w:p w:rsidR="006458A5" w:rsidRPr="006458A5" w:rsidRDefault="006458A5" w:rsidP="006458A5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3"/>
          <w:szCs w:val="24"/>
          <w:lang w:val="it-IT"/>
        </w:rPr>
      </w:pP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  <w:bookmarkStart w:id="0" w:name="_GoBack"/>
      <w:r w:rsidRPr="006458A5">
        <w:rPr>
          <w:rFonts w:ascii="Arial" w:eastAsia="Times New Roman" w:hAnsi="Arial" w:cs="Arial"/>
          <w:i/>
          <w:iCs/>
          <w:sz w:val="21"/>
          <w:szCs w:val="20"/>
          <w:lang w:val="it-IT"/>
        </w:rPr>
        <w:t xml:space="preserve">LIVERMORE, </w:t>
      </w:r>
      <w:proofErr w:type="spellStart"/>
      <w:r w:rsidRPr="006458A5">
        <w:rPr>
          <w:rFonts w:ascii="Arial" w:eastAsia="Times New Roman" w:hAnsi="Arial" w:cs="Arial"/>
          <w:i/>
          <w:iCs/>
          <w:sz w:val="21"/>
          <w:szCs w:val="20"/>
          <w:lang w:val="it-IT"/>
        </w:rPr>
        <w:t>Calif</w:t>
      </w:r>
      <w:proofErr w:type="spellEnd"/>
      <w:r w:rsidRPr="006458A5">
        <w:rPr>
          <w:rFonts w:ascii="Arial" w:eastAsia="Times New Roman" w:hAnsi="Arial" w:cs="Arial"/>
          <w:i/>
          <w:iCs/>
          <w:sz w:val="21"/>
          <w:szCs w:val="20"/>
          <w:lang w:val="it-IT"/>
        </w:rPr>
        <w:t xml:space="preserve">., U.S./ CAPELLE A/D IJSSEL, Paesi Bassi – 10 ottobre 2018 – </w:t>
      </w:r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Topcon Positioning Group presenta l’ultima generazione del suo ambiente software unico per l’elaborazione, l’unione, la visualizzazione e l’analisi dei set di dati a nuvola di punti: </w:t>
      </w:r>
      <w:hyperlink r:id="rId7" w:history="1">
        <w:r w:rsidRPr="006458A5">
          <w:rPr>
            <w:rFonts w:ascii="Arial" w:eastAsia="Times New Roman" w:hAnsi="Arial" w:cs="Arial"/>
            <w:color w:val="0000FF"/>
            <w:sz w:val="21"/>
            <w:szCs w:val="20"/>
            <w:u w:val="single"/>
            <w:lang w:val="it-IT"/>
          </w:rPr>
          <w:t>MAGNET Collage</w:t>
        </w:r>
      </w:hyperlink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 versione 2. Le nuove funzioni sono mirate nello specifico a migliorare i flussi di lavoro nell’ambito delle costruzioni orizzontali.</w:t>
      </w: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“MAGNET Collage dispone di una solida base, considerando la sua elevata velocità di elaborazione e la capacità unica di georeferenziare e combinare dati 3D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construction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 provenienti da fonti diverse. Il software è in rapida evoluzione e presto includerà ulteriori caratteristiche che apporteranno valore aggiunto ai professionisti del movimento terra e delle infrastrutture civili”, ha affermato Charles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Rihner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, vice presidente del reparto di pianificazione di Topcon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Emerging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 Business.</w:t>
      </w: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Fra le nuove funzionalità, l’estrazione automatica del terreno, la mappatura cromatica della densità delle nuvole di punti, la possibilità di filtrare e integrare le superfici TIN, i contorni interni delle TIN, gli allineamenti, le viste delle sezioni trasversali e la calibrazione della scansione dinamica per il sistema di mobile mapping </w:t>
      </w:r>
      <w:hyperlink r:id="rId8" w:history="1">
        <w:r w:rsidRPr="006458A5">
          <w:rPr>
            <w:rFonts w:ascii="Arial" w:eastAsia="Times New Roman" w:hAnsi="Arial" w:cs="Arial"/>
            <w:color w:val="0000FF"/>
            <w:sz w:val="21"/>
            <w:szCs w:val="20"/>
            <w:u w:val="single"/>
            <w:lang w:val="it-IT"/>
          </w:rPr>
          <w:t>IP-S3</w:t>
        </w:r>
      </w:hyperlink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. “MAGNET Collage migliora il grado di precisione dell’acquisizione dei dati e, con questa capacità migliorata in termini di scansione dinamica, porta il mobile mapping a un nuovo livello”, ha detto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Rihner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.  </w:t>
      </w: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  <w:r w:rsidRPr="006458A5">
        <w:rPr>
          <w:rFonts w:ascii="Arial" w:eastAsia="Times New Roman" w:hAnsi="Arial" w:cs="Arial"/>
          <w:sz w:val="21"/>
          <w:szCs w:val="20"/>
          <w:lang w:val="it-IT"/>
        </w:rPr>
        <w:t>“Adesso, con l’estrazione automatica del terreno, gli operatori possono rimuovere facilmente gli edifici, la vegetazione, le linee elettriche aeree, le automobili, le persone e altri oggetti verticali dalle nuvole di punti, in modo da isolare le superfici di terreno per la modellazione. Potenzialmente si può ridurre il tempo di preparazione dei dati</w:t>
      </w:r>
      <w:r w:rsidRPr="006458A5" w:rsidDel="005A60E6">
        <w:rPr>
          <w:rFonts w:ascii="Arial" w:eastAsia="Times New Roman" w:hAnsi="Arial" w:cs="Arial"/>
          <w:sz w:val="21"/>
          <w:szCs w:val="20"/>
          <w:lang w:val="it-IT"/>
        </w:rPr>
        <w:t xml:space="preserve"> </w:t>
      </w:r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di oltre il 90%”, ha aggiunto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Rihner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. </w:t>
      </w: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Il MAGNET Collage comprende inoltre miglioramenti destinati a favorire l’interazione con i software ClearEdge3D, Bentley Systems e Autodesk. </w:t>
      </w: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“Il software può esportare scansioni in formato E57 per una migliore compatibilità con ClearEdge3D,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EdgeWise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 e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Verity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, nonché con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ContextCapture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 di Bentley. Senza dimenticare la novità dell’esportazione più rapida in formato RCS, che favorisce il trasferimento dei dati con Autodesk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ReCap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”, ha affermato </w:t>
      </w:r>
      <w:proofErr w:type="spellStart"/>
      <w:r w:rsidRPr="006458A5">
        <w:rPr>
          <w:rFonts w:ascii="Arial" w:eastAsia="Times New Roman" w:hAnsi="Arial" w:cs="Arial"/>
          <w:sz w:val="21"/>
          <w:szCs w:val="20"/>
          <w:lang w:val="it-IT"/>
        </w:rPr>
        <w:t>Rihner</w:t>
      </w:r>
      <w:proofErr w:type="spellEnd"/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. </w:t>
      </w: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sz w:val="21"/>
          <w:szCs w:val="20"/>
          <w:lang w:val="it-IT"/>
        </w:rPr>
      </w:pPr>
    </w:p>
    <w:p w:rsidR="006458A5" w:rsidRPr="006458A5" w:rsidRDefault="006458A5" w:rsidP="006458A5">
      <w:pPr>
        <w:spacing w:after="0" w:line="240" w:lineRule="auto"/>
        <w:rPr>
          <w:rFonts w:ascii="Arial" w:eastAsia="Times New Roman" w:hAnsi="Arial" w:cs="Arial"/>
          <w:bCs/>
          <w:sz w:val="21"/>
          <w:szCs w:val="20"/>
          <w:lang w:val="it-IT"/>
        </w:rPr>
      </w:pPr>
      <w:r w:rsidRPr="006458A5">
        <w:rPr>
          <w:rFonts w:ascii="Arial" w:eastAsia="Times New Roman" w:hAnsi="Arial" w:cs="Arial"/>
          <w:sz w:val="21"/>
          <w:szCs w:val="20"/>
          <w:lang w:val="it-IT"/>
        </w:rPr>
        <w:t xml:space="preserve">Per ulteriori informazioni, visitare </w:t>
      </w:r>
      <w:hyperlink r:id="rId9" w:history="1">
        <w:r w:rsidRPr="006458A5">
          <w:rPr>
            <w:rFonts w:ascii="Arial" w:eastAsia="Times New Roman" w:hAnsi="Arial" w:cs="Arial"/>
            <w:color w:val="0000FF"/>
            <w:sz w:val="21"/>
            <w:szCs w:val="20"/>
            <w:u w:val="single"/>
            <w:lang w:val="it-IT"/>
          </w:rPr>
          <w:t>topconpositioning.com</w:t>
        </w:r>
      </w:hyperlink>
      <w:r w:rsidRPr="006458A5">
        <w:rPr>
          <w:rFonts w:ascii="Arial" w:eastAsia="Times New Roman" w:hAnsi="Arial" w:cs="Arial"/>
          <w:sz w:val="21"/>
          <w:szCs w:val="20"/>
          <w:lang w:val="it-IT"/>
        </w:rPr>
        <w:t>.</w:t>
      </w:r>
    </w:p>
    <w:bookmarkEnd w:id="0"/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b/>
          <w:color w:val="808080"/>
          <w:szCs w:val="18"/>
          <w:lang w:val="it-IT"/>
        </w:rPr>
      </w:pPr>
    </w:p>
    <w:p w:rsidR="00DB79E7" w:rsidRPr="00AC6C05" w:rsidRDefault="007924E0" w:rsidP="00DB79E7">
      <w:pPr>
        <w:spacing w:after="0" w:line="240" w:lineRule="auto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lastRenderedPageBreak/>
        <w:t>Chi è</w:t>
      </w:r>
      <w:r w:rsidR="00DB79E7"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 Topcon Positioning </w:t>
      </w: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>Group</w:t>
      </w:r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br/>
        <w:t>Il gruppo Topcon Positioning ha il suo quartier generale a Livermore, in California, USA (</w:t>
      </w:r>
      <w:hyperlink r:id="rId10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topconpositioning.com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). La sua sede centrale europea si trova a Capelle a/d IJssel, Paesi Bassi. Il gruppo Topcon Positioning progetta, produce e commercializza soluzioni di precisione per la misurazione e i flussi di lavoro desinati ai mercati globali dell’edilizia, dei sistemi geospaziali e dell’agricoltura. Fra i suoi marchi, si annoverano: Topcon, Sokkia, Tierra, Digi-Star, RDS Technology e NORAC. Topcon Corporation (</w:t>
      </w:r>
      <w:hyperlink r:id="rId11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), fondata nel 1932, è quotata alla Borsa di Tokyo (7732). </w:t>
      </w:r>
    </w:p>
    <w:p w:rsidR="00DB79E7" w:rsidRPr="00AC6C05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# # #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Contatti stampa: 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Topcon Positioning Group</w:t>
      </w:r>
    </w:p>
    <w:p w:rsidR="00DB79E7" w:rsidRPr="00AC6C05" w:rsidRDefault="003E5180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hyperlink r:id="rId12" w:history="1">
        <w:r w:rsidR="00DB79E7">
          <w:rPr>
            <w:rFonts w:ascii="Arial" w:eastAsia="Times New Roman" w:hAnsi="Arial" w:cs="Arial"/>
            <w:color w:val="808080"/>
            <w:sz w:val="16"/>
            <w:szCs w:val="16"/>
            <w:u w:val="single"/>
            <w:lang w:val="it"/>
          </w:rPr>
          <w:t>CorpComm@topcon.com</w:t>
        </w:r>
      </w:hyperlink>
    </w:p>
    <w:p w:rsidR="00DB79E7" w:rsidRPr="00DB79E7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 xml:space="preserve">Staci Fitzgerald, +1 925-245-8610 </w:t>
      </w:r>
    </w:p>
    <w:p w:rsidR="00B44A0C" w:rsidRDefault="00B44A0C"/>
    <w:sectPr w:rsidR="00B44A0C" w:rsidSect="009C77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180" w:rsidRDefault="003E5180">
      <w:pPr>
        <w:spacing w:after="0" w:line="240" w:lineRule="auto"/>
      </w:pPr>
      <w:r>
        <w:separator/>
      </w:r>
    </w:p>
  </w:endnote>
  <w:endnote w:type="continuationSeparator" w:id="0">
    <w:p w:rsidR="003E5180" w:rsidRDefault="003E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180" w:rsidRDefault="003E5180">
      <w:pPr>
        <w:spacing w:after="0" w:line="240" w:lineRule="auto"/>
      </w:pPr>
      <w:r>
        <w:separator/>
      </w:r>
    </w:p>
  </w:footnote>
  <w:footnote w:type="continuationSeparator" w:id="0">
    <w:p w:rsidR="003E5180" w:rsidRDefault="003E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D37" w:rsidRPr="00EB1000" w:rsidRDefault="00DB79E7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de-DE"/>
      </w:rPr>
      <w:drawing>
        <wp:anchor distT="0" distB="0" distL="114300" distR="114300" simplePos="0" relativeHeight="251659264" behindDoc="1" locked="0" layoutInCell="1" allowOverlap="1" wp14:anchorId="7BFCBB6D" wp14:editId="29AF421B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D37" w:rsidRPr="00EB1000" w:rsidRDefault="003E5180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870D37" w:rsidRPr="001A276A" w:rsidRDefault="00DB79E7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"/>
      </w:rPr>
      <w:t>COMUNICATO STAMPA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A4B"/>
    <w:rsid w:val="00065AB3"/>
    <w:rsid w:val="00126B47"/>
    <w:rsid w:val="00143102"/>
    <w:rsid w:val="001D3C1B"/>
    <w:rsid w:val="002D4EB9"/>
    <w:rsid w:val="00307A97"/>
    <w:rsid w:val="003535FC"/>
    <w:rsid w:val="00353E3E"/>
    <w:rsid w:val="00396B70"/>
    <w:rsid w:val="003E5180"/>
    <w:rsid w:val="005A4CAE"/>
    <w:rsid w:val="005E6324"/>
    <w:rsid w:val="00621C66"/>
    <w:rsid w:val="00623B9D"/>
    <w:rsid w:val="006458A5"/>
    <w:rsid w:val="006C11AE"/>
    <w:rsid w:val="006D129E"/>
    <w:rsid w:val="007850CA"/>
    <w:rsid w:val="007924E0"/>
    <w:rsid w:val="007B30F2"/>
    <w:rsid w:val="00874A4B"/>
    <w:rsid w:val="00A24AF3"/>
    <w:rsid w:val="00A55560"/>
    <w:rsid w:val="00AC6C05"/>
    <w:rsid w:val="00B44A0C"/>
    <w:rsid w:val="00CA28B8"/>
    <w:rsid w:val="00DB79E7"/>
    <w:rsid w:val="00DD392B"/>
    <w:rsid w:val="00E34708"/>
    <w:rsid w:val="00F04E08"/>
    <w:rsid w:val="00F0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78F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9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E7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1D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C1B"/>
  </w:style>
  <w:style w:type="character" w:styleId="Collegamentoipertestuale">
    <w:name w:val="Hyperlink"/>
    <w:basedOn w:val="Carpredefinitoparagrafo"/>
    <w:uiPriority w:val="99"/>
    <w:unhideWhenUsed/>
    <w:rsid w:val="00065AB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5A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it/mass-data-and-volume-collection/mobile-mapping/ip-s3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topconpositioning.com/it/software-solutions/mass-data-mapping/magnet-collage" TargetMode="External"/><Relationship Id="rId12" Type="http://schemas.openxmlformats.org/officeDocument/2006/relationships/hyperlink" Target="mailto:CorpComm@topcon.com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global.topcon.com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2018-11-15T10:20:00Z</dcterms:created>
  <dcterms:modified xsi:type="dcterms:W3CDTF">2018-11-15T10:34:00Z</dcterms:modified>
</cp:coreProperties>
</file>